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170</w:t>
      </w:r>
    </w:p>
    <w:p>
      <w:r>
        <w:t>Bundesgericht (BGE), 1969-11-03, FR</w:t>
      </w:r>
    </w:p>
    <w:p>
      <w:r>
        <w:rPr>
          <w:b/>
        </w:rPr>
        <w:t xml:space="preserve">Quelle: </w:t>
      </w:r>
      <w:r>
        <w:t>https://mcp.opencaselaw.ch/entscheid/bge_95 IV 170</w:t>
      </w:r>
    </w:p>
    <w:p>
      <w:r>
        <w:t>FR: ATF 95 IV 170</w:t>
      </w:r>
    </w:p>
    <w:p>
      <w:r>
        <w:t>IT: DTF 95 IV 170</w:t>
      </w:r>
    </w:p>
    <w:p>
      <w:pPr>
        <w:pStyle w:val="Heading2"/>
      </w:pPr>
      <w:r>
        <w:t>Regeste</w:t>
      </w:r>
    </w:p>
    <w:p>
      <w:r>
        <w:t>Regeste Nichtbeherrschen des Fahrzeugs. Fahrzeug, dessen Motor abstellt. Schuld des Führers? Körperverletzung. Ist sie auf eine Verletzung der Verkehrsregeln zurückzuführen, so ist Art. 100 Ziff. 1 Abs. 2 SVG nicht anwendbar.</w:t>
      </w:r>
    </w:p>
    <w:p>
      <w:pPr>
        <w:pStyle w:val="Heading2"/>
      </w:pPr>
      <w:r>
        <w:t>Erwägungen</w:t>
      </w:r>
    </w:p>
    <w:p>
      <w:r>
        <w:rPr>
          <w:b/>
        </w:rPr>
        <w:t>E. 1</w:t>
      </w:r>
    </w:p>
    <w:p>
      <w:r>
        <w:t>...</w:t>
      </w:r>
    </w:p>
    <w:p>
      <w:r>
        <w:rPr>
          <w:b/>
        </w:rPr>
        <w:t>E. 2</w:t>
      </w:r>
    </w:p>
    <w:p>
      <w:r>
        <w:t>Est maître de son véhicule le conducteur qui en obtient les réactions voulues, qui est en mesure de le commander immédiatement d'une manière appropriée aux circonstances (RO 76 IV 55). La perte de la maîtrise résulte en général d'une vitesse excessive; elle peut aussi être due à un arrêt involontaire du moteur. L'automobiliste dont la voiture s'immobilise parce que, contre son gré, le moteur a calé ne la maîtrise pas. C'est BGE 95 IV 170 S. 172 ce qui est arrivé à Nobs. Aussi a-t-il contrevenu à l'art. 31 al. 1 LCR. Il n'est pas douteux que cette contravention est une des causes de l'accident et des blessures du plaignant: si l'Austin ne s'était pas arrêté, ou bien la Fiat ne l'aurait pas tamponnée, ou bien le choc eût été moins violent, les deux véhicules roulant dans la même direction. Il reste à examiner si l'immobilisation de l'Austin provient d'une faute de l'intimé. La cour cantonale a retenu l'explication qu'il a donnée, à savoir que le moteur a calé - alors, a-t-il précisé, qu'il voulait passer de première en seconde vitesse - parce qu'il était froid. Elle admet avec lui qu'il s'est agi d'un événement fortuit, ajoutant que sa faute, si faute il y a eu, est de très peu de gravité, de sorte que l'art. 100 ch. 1 al. 2 LCR permet de l'exempter de toute peine. En réalité - on l'a déjà vu - il est prévenu de lésions corporelles par négligence. Or l'art. 125 CP ne prévoit pas l'exemption de toute peine dans les cas de très peu de gravité. Que les lésions corporelles soient consécutives à une violation de règles de la circulation ne change rien: l'art. 100 ch. 1 al. 2 ne s'applique pas. Sur ce point, la critique du recourant est fondée. Tout conducteur sait qu'un moteur froid - comme l'était celui de Nobs - risque de caler, notamment lors d'un arrêt du véhicule. On préviendra donc cet incident dans la mesure du possible, en actionnant de façon convenable, soit le "choke", soit la pédale des gaz. Cependant, même un conducteur expérimenté ne parviendra pas toujours à maintenir son moteur en marche. Il n'y aura faute qu'en cas de maladresse caractérisée ou d'oubli d'une manoeuvre nécessaire. Or, en l'espèce, le juge cantonal n'a constaté aucun fait qui puisse être imputable à faute à Nobs et, dans l'état actuel des choses, on ne voit pas qu'il soit possible de faire utilement, sur ce point, aucune constatation nouvelle.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